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kern w:val="0"/>
          <w:sz w:val="32"/>
          <w:szCs w:val="32"/>
        </w:rPr>
      </w:pPr>
      <w:r>
        <w:rPr>
          <w:rFonts w:eastAsia="黑体"/>
          <w:kern w:val="0"/>
          <w:sz w:val="32"/>
          <w:szCs w:val="32"/>
        </w:rPr>
        <w:t>附件1</w:t>
      </w:r>
    </w:p>
    <w:p>
      <w:pPr>
        <w:spacing w:before="240" w:beforeLines="100" w:after="240" w:afterLines="100"/>
        <w:jc w:val="center"/>
        <w:rPr>
          <w:rFonts w:eastAsia="楷体_GB2312"/>
          <w:bCs/>
          <w:kern w:val="0"/>
          <w:sz w:val="32"/>
          <w:szCs w:val="32"/>
        </w:rPr>
      </w:pPr>
      <w:r>
        <w:rPr>
          <w:rFonts w:hint="eastAsia" w:eastAsia="方正小标宋_GBK"/>
          <w:bCs/>
          <w:kern w:val="0"/>
          <w:sz w:val="36"/>
          <w:szCs w:val="36"/>
          <w:lang w:val="en-US" w:eastAsia="zh-CN"/>
        </w:rPr>
        <w:t>2021</w:t>
      </w:r>
      <w:r>
        <w:rPr>
          <w:rFonts w:eastAsia="方正小标宋_GBK"/>
          <w:bCs/>
          <w:kern w:val="0"/>
          <w:sz w:val="36"/>
          <w:szCs w:val="36"/>
        </w:rPr>
        <w:t>年部门整体支出绩效目标表</w:t>
      </w:r>
    </w:p>
    <w:p>
      <w:pPr>
        <w:widowControl/>
        <w:tabs>
          <w:tab w:val="left" w:pos="2593"/>
        </w:tabs>
        <w:jc w:val="left"/>
        <w:rPr>
          <w:rFonts w:hint="eastAsia" w:ascii="仿宋_GB2312" w:eastAsia="仿宋_GB2312"/>
          <w:kern w:val="0"/>
          <w:szCs w:val="21"/>
        </w:rPr>
      </w:pPr>
      <w:r>
        <w:rPr>
          <w:rFonts w:hint="eastAsia" w:ascii="仿宋_GB2312" w:eastAsia="仿宋_GB2312"/>
          <w:kern w:val="0"/>
          <w:sz w:val="24"/>
          <w:szCs w:val="21"/>
        </w:rPr>
        <w:t xml:space="preserve"> 填报单位：</w:t>
      </w:r>
      <w:r>
        <w:rPr>
          <w:rFonts w:hint="eastAsia" w:ascii="仿宋_GB2312" w:eastAsia="仿宋_GB2312"/>
          <w:kern w:val="0"/>
          <w:sz w:val="24"/>
          <w:szCs w:val="21"/>
          <w:lang w:eastAsia="zh-CN"/>
        </w:rPr>
        <w:t>邵阳市水利局</w:t>
      </w:r>
      <w:r>
        <w:rPr>
          <w:rFonts w:hint="eastAsia" w:ascii="仿宋_GB2312" w:eastAsia="仿宋_GB2312"/>
          <w:kern w:val="0"/>
          <w:sz w:val="24"/>
          <w:szCs w:val="21"/>
        </w:rPr>
        <w:t>（盖章）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部门名称</w:t>
            </w:r>
          </w:p>
        </w:tc>
        <w:tc>
          <w:tcPr>
            <w:tcW w:w="7681" w:type="dxa"/>
            <w:gridSpan w:val="5"/>
            <w:noWrap w:val="0"/>
            <w:vAlign w:val="center"/>
          </w:tcPr>
          <w:p>
            <w:pPr>
              <w:widowControl/>
              <w:jc w:val="center"/>
              <w:rPr>
                <w:rFonts w:hint="eastAsia" w:ascii="仿宋_GB2312" w:eastAsia="仿宋_GB2312"/>
                <w:kern w:val="0"/>
                <w:szCs w:val="21"/>
              </w:rPr>
            </w:pPr>
            <w:r>
              <w:rPr>
                <w:rFonts w:hint="eastAsia" w:ascii="仿宋_GB2312" w:eastAsia="仿宋_GB2312"/>
                <w:kern w:val="0"/>
                <w:sz w:val="24"/>
                <w:szCs w:val="21"/>
                <w:lang w:eastAsia="zh-CN"/>
              </w:rPr>
              <w:t>邵阳市水利局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noWrap w:val="0"/>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rPr>
              <w:t>年度预算申请</w:t>
            </w:r>
          </w:p>
          <w:p>
            <w:pPr>
              <w:widowControl/>
              <w:jc w:val="center"/>
              <w:rPr>
                <w:rFonts w:hint="eastAsia" w:ascii="仿宋_GB2312" w:eastAsia="仿宋_GB2312"/>
                <w:kern w:val="0"/>
                <w:szCs w:val="21"/>
              </w:rPr>
            </w:pPr>
            <w:r>
              <w:rPr>
                <w:rFonts w:hint="eastAsia" w:ascii="仿宋_GB2312" w:eastAsia="仿宋_GB2312"/>
                <w:kern w:val="0"/>
                <w:szCs w:val="21"/>
              </w:rPr>
              <w:t>（万元）</w:t>
            </w:r>
          </w:p>
        </w:tc>
        <w:tc>
          <w:tcPr>
            <w:tcW w:w="7681" w:type="dxa"/>
            <w:gridSpan w:val="5"/>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1700.14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按收入性质分：</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1700.14</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970.14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纳入专户管理的非税收入拨款：</w:t>
            </w:r>
          </w:p>
        </w:tc>
        <w:tc>
          <w:tcPr>
            <w:tcW w:w="3741"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3940" w:type="dxa"/>
            <w:gridSpan w:val="3"/>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其他资金：</w:t>
            </w:r>
          </w:p>
        </w:tc>
        <w:tc>
          <w:tcPr>
            <w:tcW w:w="3741" w:type="dxa"/>
            <w:gridSpan w:val="2"/>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部门职能</w:t>
            </w:r>
          </w:p>
          <w:p>
            <w:pPr>
              <w:widowControl/>
              <w:jc w:val="center"/>
              <w:rPr>
                <w:rFonts w:hint="eastAsia" w:ascii="仿宋_GB2312" w:eastAsia="仿宋_GB2312"/>
                <w:kern w:val="0"/>
                <w:szCs w:val="21"/>
              </w:rPr>
            </w:pPr>
            <w:r>
              <w:rPr>
                <w:rFonts w:hint="eastAsia" w:ascii="仿宋_GB2312" w:eastAsia="仿宋_GB2312"/>
                <w:kern w:val="0"/>
                <w:szCs w:val="21"/>
              </w:rPr>
              <w:t>职责概述</w:t>
            </w:r>
          </w:p>
        </w:tc>
        <w:tc>
          <w:tcPr>
            <w:tcW w:w="768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 xml:space="preserve"> 1、负责保障水资源的合理开发利用。2、负责生活、生产经营和生态环境用水的统筹和保障。3、指导水资源保护工作，负责节约用水工作。4、指导水利设施、水域及其岸线的管理、保护与综合利用,指导监督水利工程建设与运行管理，指导农村水利工作。5、负责水土保持工作。6、负责水利工程移民管理工作。7、指导协调重大涉水违法事件的查处。8、开展水利科技和外事工作。9、组织编制洪水干旱灾害防治规划和防护标准并指导实施；织编制重要江河湖泊和重要水工程的防御洪水抗御旱灾调度及应急水量调度方案，按程序报批并组织实施；承担防御洪水应急抢险的技术支撑工作；承担台风防御期间重要水工程调度工作。10、完成市委、市政府交办的其他任务。11、提出水利资金安排建议并负责项目实施的监督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整体绩效目标</w:t>
            </w:r>
          </w:p>
        </w:tc>
        <w:tc>
          <w:tcPr>
            <w:tcW w:w="7681" w:type="dxa"/>
            <w:gridSpan w:val="5"/>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在今年收支预算内，确保完成以下整体目标：</w:t>
            </w:r>
          </w:p>
          <w:p>
            <w:pPr>
              <w:widowControl/>
              <w:jc w:val="left"/>
              <w:rPr>
                <w:rFonts w:hint="eastAsia" w:ascii="仿宋_GB2312" w:eastAsia="仿宋_GB2312"/>
                <w:kern w:val="0"/>
                <w:szCs w:val="21"/>
              </w:rPr>
            </w:pPr>
            <w:r>
              <w:rPr>
                <w:rFonts w:hint="eastAsia" w:ascii="仿宋_GB2312" w:eastAsia="仿宋_GB2312"/>
                <w:kern w:val="0"/>
                <w:szCs w:val="21"/>
              </w:rPr>
              <w:t>1、协调、推进犬木塘水库重大工程进度，实施中小河流治理、病险水库除险加固、大中型灌区节水配套工程。</w:t>
            </w:r>
          </w:p>
          <w:p>
            <w:pPr>
              <w:widowControl/>
              <w:jc w:val="left"/>
              <w:rPr>
                <w:rFonts w:hint="eastAsia" w:ascii="仿宋_GB2312" w:eastAsia="仿宋_GB2312"/>
                <w:kern w:val="0"/>
                <w:szCs w:val="21"/>
              </w:rPr>
            </w:pPr>
            <w:r>
              <w:rPr>
                <w:rFonts w:hint="eastAsia" w:ascii="仿宋_GB2312" w:eastAsia="仿宋_GB2312"/>
                <w:kern w:val="0"/>
                <w:szCs w:val="21"/>
              </w:rPr>
              <w:t>2、以农村安全饮水为重点，抓好乡村振兴工作。</w:t>
            </w:r>
          </w:p>
          <w:p>
            <w:pPr>
              <w:widowControl/>
              <w:jc w:val="left"/>
              <w:rPr>
                <w:rFonts w:hint="eastAsia" w:ascii="仿宋_GB2312" w:eastAsia="仿宋_GB2312"/>
                <w:kern w:val="0"/>
                <w:szCs w:val="21"/>
              </w:rPr>
            </w:pPr>
            <w:r>
              <w:rPr>
                <w:rFonts w:hint="eastAsia" w:ascii="仿宋_GB2312" w:eastAsia="仿宋_GB2312"/>
                <w:kern w:val="0"/>
                <w:szCs w:val="21"/>
              </w:rPr>
              <w:t>3、进一步夯实河长制工作基层基础，持续深化‘一河一警长’机制，深化“两长两员”管理机制，实现“强基础、创亮点、夺先进”河长制的工作目标。</w:t>
            </w:r>
          </w:p>
          <w:p>
            <w:pPr>
              <w:widowControl/>
              <w:jc w:val="left"/>
              <w:rPr>
                <w:rFonts w:hint="eastAsia" w:ascii="仿宋_GB2312" w:eastAsia="仿宋_GB2312"/>
                <w:kern w:val="0"/>
                <w:szCs w:val="21"/>
              </w:rPr>
            </w:pPr>
            <w:r>
              <w:rPr>
                <w:rFonts w:hint="eastAsia" w:ascii="仿宋_GB2312" w:eastAsia="仿宋_GB2312"/>
                <w:kern w:val="0"/>
                <w:szCs w:val="21"/>
              </w:rPr>
              <w:t>4、紧扣“高质量发展”，全面推进水利工程项目建设。</w:t>
            </w:r>
            <w:r>
              <w:rPr>
                <w:rFonts w:hint="eastAsia" w:ascii="仿宋_GB2312" w:eastAsia="仿宋_GB2312"/>
                <w:kern w:val="0"/>
                <w:szCs w:val="21"/>
              </w:rPr>
              <w:tab/>
            </w:r>
            <w:r>
              <w:rPr>
                <w:rFonts w:hint="eastAsia" w:ascii="仿宋_GB2312" w:eastAsia="仿宋_GB2312"/>
                <w:kern w:val="0"/>
                <w:szCs w:val="21"/>
              </w:rPr>
              <w:tab/>
            </w:r>
            <w:r>
              <w:rPr>
                <w:rFonts w:hint="eastAsia" w:ascii="仿宋_GB2312" w:eastAsia="仿宋_GB2312"/>
                <w:kern w:val="0"/>
                <w:szCs w:val="21"/>
              </w:rPr>
              <w:tab/>
            </w:r>
            <w:r>
              <w:rPr>
                <w:rFonts w:hint="eastAsia" w:ascii="仿宋_GB2312" w:eastAsia="仿宋_GB2312"/>
                <w:kern w:val="0"/>
                <w:szCs w:val="21"/>
              </w:rPr>
              <w:tab/>
            </w:r>
          </w:p>
          <w:p>
            <w:pPr>
              <w:widowControl/>
              <w:jc w:val="left"/>
              <w:rPr>
                <w:rFonts w:hint="eastAsia" w:ascii="仿宋_GB2312" w:eastAsia="仿宋_GB2312"/>
                <w:kern w:val="0"/>
                <w:szCs w:val="21"/>
              </w:rPr>
            </w:pPr>
            <w:r>
              <w:rPr>
                <w:rFonts w:hint="eastAsia" w:ascii="仿宋_GB2312" w:eastAsia="仿宋_GB2312"/>
                <w:kern w:val="0"/>
                <w:szCs w:val="21"/>
              </w:rPr>
              <w:t>5、抓好水利工程防洪保安，提供防洪抢险工作技术支撑。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部门整体支出</w:t>
            </w:r>
          </w:p>
          <w:p>
            <w:pPr>
              <w:jc w:val="center"/>
              <w:rPr>
                <w:rFonts w:hint="eastAsia" w:ascii="仿宋_GB2312" w:eastAsia="仿宋_GB2312"/>
                <w:kern w:val="0"/>
                <w:szCs w:val="21"/>
              </w:rPr>
            </w:pPr>
            <w:r>
              <w:rPr>
                <w:rFonts w:hint="eastAsia" w:ascii="仿宋_GB2312" w:eastAsia="仿宋_GB2312"/>
                <w:kern w:val="0"/>
                <w:szCs w:val="21"/>
              </w:rPr>
              <w:t>年度绩效指标</w:t>
            </w:r>
          </w:p>
        </w:tc>
        <w:tc>
          <w:tcPr>
            <w:tcW w:w="1147"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一级指标</w:t>
            </w:r>
          </w:p>
        </w:tc>
        <w:tc>
          <w:tcPr>
            <w:tcW w:w="1843"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二级指标</w:t>
            </w:r>
          </w:p>
        </w:tc>
        <w:tc>
          <w:tcPr>
            <w:tcW w:w="2062"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三级指标</w:t>
            </w:r>
          </w:p>
        </w:tc>
        <w:tc>
          <w:tcPr>
            <w:tcW w:w="2629"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产出指标</w:t>
            </w: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数量指标</w:t>
            </w:r>
          </w:p>
        </w:tc>
        <w:tc>
          <w:tcPr>
            <w:tcW w:w="2062"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水利基础设施建设</w:t>
            </w:r>
          </w:p>
          <w:p>
            <w:pPr>
              <w:keepNext w:val="0"/>
              <w:keepLines w:val="0"/>
              <w:widowControl/>
              <w:suppressLineNumbers w:val="0"/>
              <w:jc w:val="left"/>
              <w:textAlignment w:val="center"/>
              <w:rPr>
                <w:rFonts w:hint="eastAsia" w:ascii="仿宋_GB2312" w:hAnsi="仿宋_GB2312" w:eastAsia="仿宋_GB2312" w:cs="仿宋_GB2312"/>
                <w:kern w:val="0"/>
                <w:sz w:val="21"/>
                <w:szCs w:val="21"/>
              </w:rPr>
            </w:pPr>
          </w:p>
        </w:tc>
        <w:tc>
          <w:tcPr>
            <w:tcW w:w="2629"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推进国家172项重大水利工程之一的犬木塘水库建设进度，实施中小河流治理9条，病险水库除险加固15座、改造大中型灌区节水配套5处，完成60处农村供水保障工程项目。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质量指标</w:t>
            </w:r>
          </w:p>
        </w:tc>
        <w:tc>
          <w:tcPr>
            <w:tcW w:w="2062"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验收合格率</w:t>
            </w:r>
          </w:p>
        </w:tc>
        <w:tc>
          <w:tcPr>
            <w:tcW w:w="2629"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 w:hAnsi="仿宋" w:eastAsia="仿宋" w:cs="仿宋"/>
                <w:sz w:val="21"/>
                <w:szCs w:val="21"/>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成本指标</w:t>
            </w:r>
          </w:p>
        </w:tc>
        <w:tc>
          <w:tcPr>
            <w:tcW w:w="2062"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施工成本</w:t>
            </w:r>
            <w:r>
              <w:rPr>
                <w:rFonts w:hint="eastAsia" w:ascii="仿宋_GB2312" w:hAnsi="仿宋_GB2312" w:eastAsia="仿宋_GB2312" w:cs="仿宋_GB2312"/>
                <w:kern w:val="0"/>
                <w:sz w:val="21"/>
                <w:szCs w:val="21"/>
                <w:lang w:eastAsia="zh-CN"/>
              </w:rPr>
              <w:t>率</w:t>
            </w:r>
          </w:p>
        </w:tc>
        <w:tc>
          <w:tcPr>
            <w:tcW w:w="2629" w:type="dxa"/>
            <w:noWrap w:val="0"/>
            <w:vAlign w:val="center"/>
          </w:tcPr>
          <w:p>
            <w:pPr>
              <w:tabs>
                <w:tab w:val="left" w:pos="619"/>
              </w:tabs>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center"/>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时效指标</w:t>
            </w:r>
          </w:p>
        </w:tc>
        <w:tc>
          <w:tcPr>
            <w:tcW w:w="2062"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水利工程完成时间。</w:t>
            </w:r>
          </w:p>
        </w:tc>
        <w:tc>
          <w:tcPr>
            <w:tcW w:w="2629"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 w:hAnsi="仿宋" w:eastAsia="仿宋" w:cs="仿宋"/>
                <w:sz w:val="21"/>
                <w:szCs w:val="21"/>
              </w:rPr>
              <w:t>面上水利项目1年内完成；重点水利项目按设计批复完成；重点民生实事项目1年内完成。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restart"/>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效益指标</w:t>
            </w: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经济效益指标</w:t>
            </w:r>
          </w:p>
        </w:tc>
        <w:tc>
          <w:tcPr>
            <w:tcW w:w="2062"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提高水利服务社会保障能力。</w:t>
            </w:r>
          </w:p>
        </w:tc>
        <w:tc>
          <w:tcPr>
            <w:tcW w:w="2629" w:type="dxa"/>
            <w:noWrap w:val="0"/>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增加农村饮水工程受益人口20万。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社会效益指标</w:t>
            </w:r>
          </w:p>
        </w:tc>
        <w:tc>
          <w:tcPr>
            <w:tcW w:w="2062" w:type="dxa"/>
            <w:gridSpan w:val="2"/>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1、严格控制用水总量和提高用水效率；2、抓好水利工程防洪保安。</w:t>
            </w:r>
          </w:p>
          <w:p>
            <w:pPr>
              <w:keepNext w:val="0"/>
              <w:keepLines w:val="0"/>
              <w:widowControl/>
              <w:suppressLineNumbers w:val="0"/>
              <w:jc w:val="left"/>
              <w:textAlignment w:val="center"/>
              <w:rPr>
                <w:rFonts w:hint="eastAsia" w:ascii="仿宋_GB2312" w:hAnsi="仿宋_GB2312" w:eastAsia="仿宋_GB2312" w:cs="仿宋_GB2312"/>
                <w:kern w:val="0"/>
                <w:sz w:val="21"/>
                <w:szCs w:val="21"/>
              </w:rPr>
            </w:pPr>
          </w:p>
        </w:tc>
        <w:tc>
          <w:tcPr>
            <w:tcW w:w="2629" w:type="dxa"/>
            <w:noWrap w:val="0"/>
            <w:vAlign w:val="top"/>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eastAsia="仿宋_GB2312"/>
                <w:kern w:val="0"/>
                <w:sz w:val="21"/>
                <w:szCs w:val="21"/>
                <w:lang w:eastAsia="zh-CN"/>
              </w:rPr>
              <w:t>1、2021年万元GDP用水量109.52立方米，用水总量26.61亿立方米，农田灌溉水有效利用系数0.53。2、确保“不垮一库一坝”。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生态效益指标</w:t>
            </w:r>
          </w:p>
        </w:tc>
        <w:tc>
          <w:tcPr>
            <w:tcW w:w="2062" w:type="dxa"/>
            <w:gridSpan w:val="2"/>
            <w:noWrap w:val="0"/>
            <w:vAlign w:val="center"/>
          </w:tcPr>
          <w:p>
            <w:pPr>
              <w:keepNext w:val="0"/>
              <w:keepLines w:val="0"/>
              <w:widowControl/>
              <w:suppressLineNumbers w:val="0"/>
              <w:jc w:val="left"/>
              <w:textAlignment w:val="center"/>
              <w:rPr>
                <w:rFonts w:hint="eastAsia" w:ascii="仿宋" w:hAnsi="仿宋" w:eastAsia="仿宋" w:cs="仿宋"/>
                <w:b w:val="0"/>
                <w:bCs w:val="0"/>
                <w:kern w:val="0"/>
                <w:sz w:val="21"/>
                <w:szCs w:val="21"/>
              </w:rPr>
            </w:pPr>
            <w:r>
              <w:rPr>
                <w:rFonts w:hint="eastAsia" w:ascii="仿宋" w:hAnsi="仿宋" w:eastAsia="仿宋" w:cs="仿宋"/>
                <w:b w:val="0"/>
                <w:bCs w:val="0"/>
                <w:sz w:val="21"/>
                <w:szCs w:val="21"/>
                <w:lang w:eastAsia="zh-CN"/>
              </w:rPr>
              <w:t>治理水土流失</w:t>
            </w:r>
            <w:r>
              <w:rPr>
                <w:rFonts w:hint="eastAsia" w:ascii="仿宋" w:hAnsi="仿宋" w:eastAsia="仿宋" w:cs="仿宋"/>
                <w:b w:val="0"/>
                <w:bCs w:val="0"/>
                <w:sz w:val="21"/>
                <w:szCs w:val="21"/>
              </w:rPr>
              <w:tab/>
            </w:r>
            <w:r>
              <w:rPr>
                <w:rFonts w:hint="eastAsia" w:ascii="仿宋" w:hAnsi="仿宋" w:eastAsia="仿宋" w:cs="仿宋"/>
                <w:b w:val="0"/>
                <w:bCs w:val="0"/>
                <w:sz w:val="21"/>
                <w:szCs w:val="21"/>
              </w:rPr>
              <w:tab/>
            </w:r>
            <w:r>
              <w:rPr>
                <w:rFonts w:hint="eastAsia" w:ascii="仿宋" w:hAnsi="仿宋" w:eastAsia="仿宋" w:cs="仿宋"/>
                <w:b w:val="0"/>
                <w:bCs w:val="0"/>
                <w:sz w:val="21"/>
                <w:szCs w:val="21"/>
              </w:rPr>
              <w:tab/>
            </w:r>
            <w:r>
              <w:rPr>
                <w:rFonts w:hint="eastAsia" w:ascii="仿宋" w:hAnsi="仿宋" w:eastAsia="仿宋" w:cs="仿宋"/>
                <w:b w:val="0"/>
                <w:bCs w:val="0"/>
                <w:sz w:val="21"/>
                <w:szCs w:val="21"/>
              </w:rPr>
              <w:tab/>
            </w:r>
          </w:p>
        </w:tc>
        <w:tc>
          <w:tcPr>
            <w:tcW w:w="2629" w:type="dxa"/>
            <w:noWrap w:val="0"/>
            <w:vAlign w:val="top"/>
          </w:tcPr>
          <w:p>
            <w:pPr>
              <w:jc w:val="left"/>
              <w:rPr>
                <w:rFonts w:hint="eastAsia" w:ascii="仿宋" w:hAnsi="仿宋" w:eastAsia="仿宋" w:cs="仿宋"/>
                <w:b w:val="0"/>
                <w:bCs w:val="0"/>
                <w:kern w:val="0"/>
                <w:sz w:val="21"/>
                <w:szCs w:val="21"/>
                <w:lang w:val="en-US" w:eastAsia="zh-CN"/>
              </w:rPr>
            </w:pPr>
            <w:r>
              <w:rPr>
                <w:rFonts w:hint="eastAsia" w:ascii="仿宋" w:hAnsi="仿宋" w:eastAsia="仿宋" w:cs="仿宋"/>
                <w:b w:val="0"/>
                <w:bCs w:val="0"/>
                <w:sz w:val="21"/>
                <w:szCs w:val="21"/>
              </w:rPr>
              <w:t>治理水土流失面积215平方公里。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可持续影响指标</w:t>
            </w:r>
          </w:p>
        </w:tc>
        <w:tc>
          <w:tcPr>
            <w:tcW w:w="2062" w:type="dxa"/>
            <w:gridSpan w:val="2"/>
            <w:noWrap w:val="0"/>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rPr>
              <w:t>水土保持率</w:t>
            </w:r>
          </w:p>
        </w:tc>
        <w:tc>
          <w:tcPr>
            <w:tcW w:w="2629" w:type="dxa"/>
            <w:noWrap w:val="0"/>
            <w:vAlign w:val="center"/>
          </w:tcPr>
          <w:p>
            <w:pPr>
              <w:jc w:val="left"/>
              <w:rPr>
                <w:rFonts w:hint="eastAsia" w:ascii="仿宋" w:hAnsi="仿宋" w:eastAsia="仿宋" w:cs="仿宋"/>
                <w:kern w:val="0"/>
                <w:sz w:val="21"/>
                <w:szCs w:val="21"/>
                <w:lang w:eastAsia="zh-CN"/>
              </w:rPr>
            </w:pPr>
            <w:r>
              <w:rPr>
                <w:rFonts w:hint="eastAsia" w:ascii="仿宋" w:hAnsi="仿宋" w:eastAsia="仿宋" w:cs="仿宋"/>
                <w:sz w:val="21"/>
                <w:szCs w:val="21"/>
              </w:rPr>
              <w:t>达到85%以上。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noWrap w:val="0"/>
            <w:vAlign w:val="center"/>
          </w:tcPr>
          <w:p>
            <w:pPr>
              <w:widowControl/>
              <w:jc w:val="left"/>
              <w:rPr>
                <w:rFonts w:hint="eastAsia" w:ascii="仿宋_GB2312" w:eastAsia="仿宋_GB2312"/>
                <w:kern w:val="0"/>
                <w:szCs w:val="21"/>
              </w:rPr>
            </w:pPr>
          </w:p>
        </w:tc>
        <w:tc>
          <w:tcPr>
            <w:tcW w:w="1147" w:type="dxa"/>
            <w:vMerge w:val="continue"/>
            <w:noWrap w:val="0"/>
            <w:vAlign w:val="center"/>
          </w:tcPr>
          <w:p>
            <w:pPr>
              <w:widowControl/>
              <w:jc w:val="center"/>
              <w:rPr>
                <w:rFonts w:hint="eastAsia" w:ascii="仿宋_GB2312" w:eastAsia="仿宋_GB2312"/>
                <w:kern w:val="0"/>
                <w:szCs w:val="21"/>
              </w:rPr>
            </w:pPr>
          </w:p>
        </w:tc>
        <w:tc>
          <w:tcPr>
            <w:tcW w:w="1843" w:type="dxa"/>
            <w:noWrap w:val="0"/>
            <w:vAlign w:val="center"/>
          </w:tcPr>
          <w:p>
            <w:pPr>
              <w:jc w:val="center"/>
              <w:rPr>
                <w:rFonts w:hint="eastAsia"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noWrap w:val="0"/>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sz w:val="21"/>
                <w:szCs w:val="21"/>
              </w:rPr>
              <w:t>加强水利建设</w:t>
            </w:r>
            <w:bookmarkStart w:id="0" w:name="_GoBack"/>
            <w:bookmarkEnd w:id="0"/>
            <w:r>
              <w:rPr>
                <w:rFonts w:hint="eastAsia" w:ascii="仿宋" w:hAnsi="仿宋" w:eastAsia="仿宋" w:cs="仿宋"/>
                <w:sz w:val="21"/>
                <w:szCs w:val="21"/>
              </w:rPr>
              <w:t>管理队伍建设，提高服务能力，履行好各项监督管理职能。</w:t>
            </w:r>
            <w:r>
              <w:rPr>
                <w:rFonts w:hint="eastAsia" w:ascii="仿宋" w:hAnsi="仿宋" w:eastAsia="仿宋" w:cs="仿宋"/>
                <w:sz w:val="21"/>
                <w:szCs w:val="21"/>
              </w:rPr>
              <w:tab/>
            </w:r>
            <w:r>
              <w:rPr>
                <w:rFonts w:hint="eastAsia" w:ascii="仿宋" w:hAnsi="仿宋" w:eastAsia="仿宋" w:cs="仿宋"/>
                <w:sz w:val="21"/>
                <w:szCs w:val="21"/>
              </w:rPr>
              <w:tab/>
            </w:r>
          </w:p>
        </w:tc>
        <w:tc>
          <w:tcPr>
            <w:tcW w:w="2629" w:type="dxa"/>
            <w:noWrap w:val="0"/>
            <w:vAlign w:val="center"/>
          </w:tcPr>
          <w:p>
            <w:pPr>
              <w:rPr>
                <w:rFonts w:hint="eastAsia" w:ascii="仿宋" w:hAnsi="仿宋" w:eastAsia="仿宋" w:cs="仿宋"/>
                <w:kern w:val="0"/>
                <w:sz w:val="21"/>
                <w:szCs w:val="21"/>
                <w:lang w:val="en-US" w:eastAsia="zh-CN"/>
              </w:rPr>
            </w:pPr>
            <w:r>
              <w:rPr>
                <w:rFonts w:hint="eastAsia" w:ascii="仿宋" w:hAnsi="仿宋" w:eastAsia="仿宋" w:cs="仿宋"/>
                <w:sz w:val="21"/>
                <w:szCs w:val="21"/>
              </w:rPr>
              <w:t>公众或服务对象满意度达95%以上。</w:t>
            </w:r>
          </w:p>
        </w:tc>
      </w:tr>
    </w:tbl>
    <w:p>
      <w:pPr>
        <w:widowControl/>
        <w:tabs>
          <w:tab w:val="left" w:pos="1333"/>
          <w:tab w:val="left" w:pos="3793"/>
          <w:tab w:val="left" w:pos="5853"/>
        </w:tabs>
        <w:jc w:val="left"/>
        <w:rPr>
          <w:rFonts w:hint="eastAsia" w:ascii="仿宋_GB2312" w:eastAsia="仿宋_GB2312"/>
          <w:kern w:val="0"/>
          <w:szCs w:val="21"/>
        </w:rPr>
      </w:pPr>
    </w:p>
    <w:p>
      <w:pPr>
        <w:widowControl/>
        <w:tabs>
          <w:tab w:val="left" w:pos="1333"/>
          <w:tab w:val="left" w:pos="3793"/>
          <w:tab w:val="left" w:pos="5853"/>
        </w:tabs>
        <w:jc w:val="both"/>
        <w:rPr>
          <w:rFonts w:hint="eastAsia" w:ascii="仿宋_GB2312" w:eastAsia="仿宋_GB2312"/>
          <w:kern w:val="0"/>
          <w:szCs w:val="21"/>
          <w:lang w:eastAsia="zh-CN"/>
        </w:rPr>
      </w:pPr>
      <w:r>
        <w:rPr>
          <w:rFonts w:hint="eastAsia" w:ascii="仿宋_GB2312" w:eastAsia="仿宋_GB2312"/>
          <w:kern w:val="0"/>
          <w:szCs w:val="21"/>
        </w:rPr>
        <w:t>填表人：</w:t>
      </w:r>
      <w:r>
        <w:rPr>
          <w:rFonts w:hint="eastAsia" w:ascii="仿宋_GB2312" w:eastAsia="仿宋_GB2312"/>
          <w:kern w:val="0"/>
          <w:szCs w:val="21"/>
          <w:lang w:eastAsia="zh-CN"/>
        </w:rPr>
        <w:t>刘珺</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8173959212</w:t>
      </w:r>
      <w:r>
        <w:rPr>
          <w:rFonts w:hint="eastAsia" w:ascii="仿宋_GB2312" w:eastAsia="仿宋_GB2312"/>
          <w:kern w:val="0"/>
          <w:szCs w:val="21"/>
        </w:rPr>
        <w:t xml:space="preserve">  填报日期：</w:t>
      </w:r>
      <w:r>
        <w:rPr>
          <w:rFonts w:hint="eastAsia" w:ascii="仿宋_GB2312" w:eastAsia="仿宋_GB2312"/>
          <w:kern w:val="0"/>
          <w:szCs w:val="21"/>
          <w:lang w:val="en-US" w:eastAsia="zh-CN"/>
        </w:rPr>
        <w:t>2020.12.31</w:t>
      </w:r>
      <w:r>
        <w:rPr>
          <w:rFonts w:hint="eastAsia" w:ascii="仿宋_GB2312" w:eastAsia="仿宋_GB2312"/>
          <w:kern w:val="0"/>
          <w:szCs w:val="21"/>
        </w:rPr>
        <w:t xml:space="preserve">  单位负责人签字：</w:t>
      </w:r>
      <w:r>
        <w:rPr>
          <w:rFonts w:hint="eastAsia" w:ascii="仿宋_GB2312" w:eastAsia="仿宋_GB2312"/>
          <w:kern w:val="0"/>
          <w:szCs w:val="21"/>
          <w:lang w:eastAsia="zh-CN"/>
        </w:rPr>
        <w:t>伍先明</w:t>
      </w:r>
    </w:p>
    <w:p>
      <w:pPr>
        <w:widowControl/>
        <w:spacing w:line="600" w:lineRule="exact"/>
        <w:jc w:val="both"/>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eastAsia="黑体"/>
          <w:kern w:val="0"/>
          <w:sz w:val="32"/>
          <w:szCs w:val="32"/>
        </w:rPr>
      </w:pPr>
    </w:p>
    <w:p>
      <w:pPr>
        <w:widowControl/>
        <w:spacing w:line="600" w:lineRule="exact"/>
        <w:jc w:val="left"/>
        <w:rPr>
          <w:rFonts w:hint="eastAsia" w:eastAsia="黑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GM5OWY0ZDQ0NjVlMTU2N2FlMmI3ZDA2MTYzNmQifQ=="/>
  </w:docVars>
  <w:rsids>
    <w:rsidRoot w:val="49E924D4"/>
    <w:rsid w:val="059F1DAE"/>
    <w:rsid w:val="06E24C7B"/>
    <w:rsid w:val="0A147847"/>
    <w:rsid w:val="15FB7F8F"/>
    <w:rsid w:val="1B0A50CB"/>
    <w:rsid w:val="413A61DA"/>
    <w:rsid w:val="46F71C9A"/>
    <w:rsid w:val="49E924D4"/>
    <w:rsid w:val="4C0D73DE"/>
    <w:rsid w:val="59154BEF"/>
    <w:rsid w:val="594159E5"/>
    <w:rsid w:val="61035669"/>
    <w:rsid w:val="62251EE8"/>
    <w:rsid w:val="63B96BBC"/>
    <w:rsid w:val="79231B49"/>
    <w:rsid w:val="7BD0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1240</Characters>
  <Lines>0</Lines>
  <Paragraphs>0</Paragraphs>
  <TotalTime>141</TotalTime>
  <ScaleCrop>false</ScaleCrop>
  <LinksUpToDate>false</LinksUpToDate>
  <CharactersWithSpaces>1446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2020-12-09T00:42:00Z</dcterms:created>
  <dc:creator>Administrator</dc:creator>
  <cp:lastModifiedBy>朱朱朱朱加妮</cp:lastModifiedBy>
  <cp:lastPrinted>2021-01-04T01:00:00Z</cp:lastPrinted>
  <dcterms:modified xsi:type="dcterms:W3CDTF">2022-07-20T07:31:10Z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2C31890D6CE94D31BFB3B90390C582AC</vt:lpwstr>
  </property>
</Properties>
</file>